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2" w:rsidRDefault="00C52A62">
      <w:pPr>
        <w:spacing w:before="124" w:line="20" w:lineRule="exact"/>
      </w:pPr>
      <w:r w:rsidRPr="00C52A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32.65pt;margin-top:14.4pt;width:72.7pt;height:87.1pt;z-index:-251659776;mso-wrap-distance-left:0;mso-wrap-distance-right:0;mso-position-horizontal-relative:page;mso-position-vertical-relative:page" filled="f" stroked="f">
            <v:textbox inset="0,0,0,0">
              <w:txbxContent>
                <w:p w:rsidR="00C52A62" w:rsidRDefault="00073DEF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23290" cy="110617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290" cy="1106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97"/>
        <w:gridCol w:w="1502"/>
        <w:gridCol w:w="250"/>
        <w:gridCol w:w="5191"/>
      </w:tblGrid>
      <w:tr w:rsidR="00C52A62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99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C52A62" w:rsidRDefault="00073DEF">
            <w:pPr>
              <w:spacing w:before="282" w:line="201" w:lineRule="exact"/>
              <w:ind w:left="14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OFICINAS MUNICIPALES: </w:t>
            </w: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Avda. de las Tirajanas, 151.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C52A62" w:rsidRDefault="00073DEF">
            <w:pPr>
              <w:spacing w:before="280" w:line="203" w:lineRule="exact"/>
              <w:ind w:right="14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Tlfs.: 928 72</w:t>
            </w:r>
          </w:p>
        </w:tc>
        <w:tc>
          <w:tcPr>
            <w:tcW w:w="25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C52A62" w:rsidRDefault="00073DEF">
            <w:pPr>
              <w:spacing w:before="280" w:line="20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72</w:t>
            </w:r>
          </w:p>
        </w:tc>
        <w:tc>
          <w:tcPr>
            <w:tcW w:w="51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C52A62" w:rsidRDefault="00073DEF">
            <w:pPr>
              <w:spacing w:before="280" w:line="203" w:lineRule="exact"/>
              <w:ind w:right="4643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00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997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C52A62" w:rsidRDefault="00073DEF">
            <w:pPr>
              <w:spacing w:line="211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35110 Santa Lucía - Gran Canaria</w:t>
            </w:r>
          </w:p>
          <w:p w:rsidR="00C52A62" w:rsidRDefault="00073DEF">
            <w:pPr>
              <w:tabs>
                <w:tab w:val="left" w:pos="2160"/>
              </w:tabs>
              <w:spacing w:after="59" w:line="206" w:lineRule="exact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N.I.F.: P-3502300-A</w:t>
            </w: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ab/>
              <w:t>Nº Rgtro.: 01350228</w:t>
            </w:r>
          </w:p>
        </w:tc>
        <w:tc>
          <w:tcPr>
            <w:tcW w:w="1502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C52A62" w:rsidRDefault="00073DEF">
            <w:pPr>
              <w:spacing w:after="265" w:line="211" w:lineRule="exact"/>
              <w:ind w:right="14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Fax: 928 72</w:t>
            </w:r>
          </w:p>
        </w:tc>
        <w:tc>
          <w:tcPr>
            <w:tcW w:w="250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C52A62" w:rsidRDefault="00073DEF">
            <w:pPr>
              <w:spacing w:after="265" w:line="21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72</w:t>
            </w:r>
          </w:p>
        </w:tc>
        <w:tc>
          <w:tcPr>
            <w:tcW w:w="5191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C52A62" w:rsidRDefault="00073DEF">
            <w:pPr>
              <w:spacing w:after="265" w:line="211" w:lineRule="exact"/>
              <w:ind w:right="4643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35</w:t>
            </w:r>
          </w:p>
        </w:tc>
      </w:tr>
    </w:tbl>
    <w:p w:rsidR="00C52A62" w:rsidRDefault="00C52A62">
      <w:pPr>
        <w:spacing w:after="849" w:line="20" w:lineRule="exact"/>
      </w:pPr>
    </w:p>
    <w:p w:rsidR="00C52A62" w:rsidRDefault="00C52A62">
      <w:pPr>
        <w:spacing w:after="849" w:line="20" w:lineRule="exact"/>
        <w:sectPr w:rsidR="00C52A62">
          <w:pgSz w:w="16838" w:h="11909" w:orient="landscape"/>
          <w:pgMar w:top="280" w:right="2181" w:bottom="2713" w:left="2717" w:header="720" w:footer="720" w:gutter="0"/>
          <w:cols w:space="720"/>
        </w:sectPr>
      </w:pPr>
    </w:p>
    <w:p w:rsidR="00C52A62" w:rsidRDefault="00073DEF">
      <w:pPr>
        <w:spacing w:before="4" w:line="249" w:lineRule="exact"/>
        <w:jc w:val="center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lastRenderedPageBreak/>
        <w:t>ANEXO DE BENEFICIOS FISCALES EN TRIBUTOS LOCALES PARA EL AÑO 2023</w:t>
      </w:r>
    </w:p>
    <w:p w:rsidR="00C52A62" w:rsidRDefault="00073DEF">
      <w:pPr>
        <w:spacing w:before="494" w:line="275" w:lineRule="exact"/>
        <w:ind w:left="432"/>
        <w:jc w:val="both"/>
        <w:textAlignment w:val="baseline"/>
        <w:rPr>
          <w:rFonts w:eastAsia="Times New Roman"/>
          <w:color w:val="000000"/>
          <w:sz w:val="24"/>
          <w:lang w:val="es-ES"/>
        </w:rPr>
      </w:pPr>
      <w:r>
        <w:rPr>
          <w:rFonts w:eastAsia="Times New Roman"/>
          <w:color w:val="000000"/>
          <w:sz w:val="24"/>
          <w:lang w:val="es-ES"/>
        </w:rPr>
        <w:t xml:space="preserve">Este Anexo tiene como principal objetivo </w:t>
      </w:r>
      <w:r>
        <w:rPr>
          <w:rFonts w:eastAsia="Times New Roman"/>
          <w:color w:val="000000"/>
          <w:sz w:val="24"/>
          <w:u w:val="single"/>
          <w:lang w:val="es-ES"/>
        </w:rPr>
        <w:t>cuantificar los beneficios fiscales</w:t>
      </w:r>
      <w:r>
        <w:rPr>
          <w:rFonts w:eastAsia="Times New Roman"/>
          <w:color w:val="000000"/>
          <w:sz w:val="24"/>
          <w:lang w:val="es-ES"/>
        </w:rPr>
        <w:t xml:space="preserve"> que afectan a los tributos y así dar cumplimiento al mandato recogido en el artículo 168.1 e) del TRLRHL. Se entiende como beneficio fiscal la expresión cifrada de la disminución/aumento de ingresos tributarios que, presumiblemente, se producirá a lo larg</w:t>
      </w:r>
      <w:r>
        <w:rPr>
          <w:rFonts w:eastAsia="Times New Roman"/>
          <w:color w:val="000000"/>
          <w:sz w:val="24"/>
          <w:lang w:val="es-ES"/>
        </w:rPr>
        <w:t>o del año, como consecuencia de la existencia de incentivos fiscales/disminuciones de la cuota fiscal, orientados al logro de determinados objetivos de política económica y social.</w:t>
      </w:r>
    </w:p>
    <w:p w:rsidR="00C52A62" w:rsidRDefault="00073DEF">
      <w:pPr>
        <w:spacing w:before="552" w:line="168" w:lineRule="exact"/>
        <w:ind w:left="720"/>
        <w:textAlignment w:val="baseline"/>
        <w:rPr>
          <w:rFonts w:eastAsia="Times New Roman"/>
          <w:b/>
          <w:color w:val="000000"/>
          <w:sz w:val="16"/>
          <w:lang w:val="es-ES"/>
        </w:rPr>
      </w:pPr>
      <w:r>
        <w:rPr>
          <w:rFonts w:eastAsia="Times New Roman"/>
          <w:b/>
          <w:color w:val="000000"/>
          <w:sz w:val="16"/>
          <w:lang w:val="es-ES"/>
        </w:rPr>
        <w:t>PRIMERO.- ESTIMACIÓN DE BENEFICIOS FISCALES Y SU IMPACTO EN LAS PREVISIONES</w:t>
      </w:r>
      <w:r>
        <w:rPr>
          <w:rFonts w:eastAsia="Times New Roman"/>
          <w:b/>
          <w:color w:val="000000"/>
          <w:sz w:val="16"/>
          <w:lang w:val="es-ES"/>
        </w:rPr>
        <w:t xml:space="preserve"> DEL PRESUPUESTO 2023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8"/>
        <w:gridCol w:w="1560"/>
        <w:gridCol w:w="1560"/>
        <w:gridCol w:w="1560"/>
        <w:gridCol w:w="1556"/>
        <w:gridCol w:w="1560"/>
        <w:gridCol w:w="1560"/>
        <w:gridCol w:w="1570"/>
      </w:tblGrid>
      <w:tr w:rsidR="00C52A6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C52A62" w:rsidRDefault="00073DEF">
            <w:pPr>
              <w:spacing w:before="1121" w:after="23" w:line="156" w:lineRule="exact"/>
              <w:ind w:left="34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>TRIBUTO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C52A62" w:rsidRDefault="00073DEF">
            <w:pPr>
              <w:spacing w:before="620" w:after="38" w:line="2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 xml:space="preserve">PREVISIONES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 xml:space="preserve">INICIALES SIN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>BENEFICIOS FISCALES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C52A62" w:rsidRDefault="00073DEF">
            <w:pPr>
              <w:spacing w:before="620" w:after="38" w:line="2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 xml:space="preserve">EXISTENCIA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 xml:space="preserve">BENEFICIOS FISCALES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>VOLUNTARIOS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C52A62" w:rsidRDefault="00073DEF">
            <w:pPr>
              <w:spacing w:before="620" w:after="38" w:line="2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 xml:space="preserve">ESTIMACIÓN IMPORTE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 xml:space="preserve">BENEFICIOS FISCALES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>OBLIGATORIOS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C52A62" w:rsidRDefault="00073DEF">
            <w:pPr>
              <w:spacing w:before="620" w:after="38" w:line="2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 xml:space="preserve">ESTIMACIÓN IMPORTE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 xml:space="preserve">BENEFICIOS FISCALES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>VOLUNTARIOS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C52A62" w:rsidRDefault="00073DEF">
            <w:pPr>
              <w:spacing w:before="406" w:after="38" w:line="214" w:lineRule="exact"/>
              <w:ind w:left="3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pacing w:val="-1"/>
                <w:sz w:val="16"/>
                <w:lang w:val="es-ES"/>
              </w:rPr>
              <w:t>ESTIMACIÓN IMPORTE BENEFICIOS FISCALES COMPENSADOS POR LA AGE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C52A62" w:rsidRDefault="00073DEF">
            <w:pPr>
              <w:spacing w:before="620" w:after="38" w:line="214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 xml:space="preserve">PREVISIONES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 xml:space="preserve">INICIALES CON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>BENEFICIOS FISCALES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2A62" w:rsidRDefault="00073DEF">
            <w:pPr>
              <w:spacing w:line="201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 xml:space="preserve">% PREVISIONES </w:t>
            </w: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br/>
              <w:t>INICIALES CON</w:t>
            </w:r>
          </w:p>
          <w:p w:rsidR="00C52A62" w:rsidRDefault="00073DEF">
            <w:pPr>
              <w:spacing w:before="60" w:line="15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>BENEFICIOS FISCALES /</w:t>
            </w:r>
          </w:p>
          <w:p w:rsidR="00C52A62" w:rsidRDefault="00073DEF">
            <w:pPr>
              <w:spacing w:before="4" w:line="214" w:lineRule="exact"/>
              <w:ind w:left="288" w:hanging="288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>PREVISIONES INCIALES SIN BENEFICIOS</w:t>
            </w:r>
          </w:p>
          <w:p w:rsidR="00C52A62" w:rsidRDefault="00073DEF">
            <w:pPr>
              <w:spacing w:before="55" w:after="38" w:line="156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>FISCALES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7" w:after="10" w:line="163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IMPUESTOS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4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12.898.060,16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4" w:line="178" w:lineRule="exact"/>
              <w:ind w:right="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-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4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124.830,39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4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689.131,03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4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4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12.084.098,74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4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93,69%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8" w:after="15" w:line="163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112 IBI Rústicos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120.514,03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5" w:line="182" w:lineRule="exact"/>
              <w:ind w:right="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Sí (*)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1.152,03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119.362,00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99,04%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8" w:after="19" w:line="163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113 IBI Urbanos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8.631.965,61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9" w:line="182" w:lineRule="exact"/>
              <w:ind w:right="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Sí (*)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56.965,61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8.575.000,00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18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99,34%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8" w:after="25" w:line="163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114 IBI BICES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79.736,74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24" w:line="173" w:lineRule="exact"/>
              <w:ind w:right="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79.736,74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2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100,00%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8" w:after="15" w:line="163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115 IVTM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3.548.119,51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14" w:line="173" w:lineRule="exact"/>
              <w:ind w:right="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Sí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117.106,12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631.013,39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2.800.000,00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14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78,92%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7" w:after="20" w:line="163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130 IAE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517.724,27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19" w:line="173" w:lineRule="exact"/>
              <w:ind w:right="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Sí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7.724,27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510.000,00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98,51%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41" w:after="28" w:line="156" w:lineRule="exact"/>
              <w:ind w:left="34"/>
              <w:textAlignment w:val="baseline"/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</w:pPr>
            <w:r>
              <w:rPr>
                <w:rFonts w:ascii="Calibri" w:eastAsia="Calibri" w:hAnsi="Calibri"/>
                <w:b/>
                <w:color w:val="000000"/>
                <w:sz w:val="16"/>
                <w:lang w:val="es-ES"/>
              </w:rPr>
              <w:t>TASAS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8.252.119,94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18" w:line="178" w:lineRule="exact"/>
              <w:ind w:right="4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-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106.119,94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8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8.146.000,00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18" w:line="178" w:lineRule="exact"/>
              <w:textAlignment w:val="baseline"/>
              <w:rPr>
                <w:rFonts w:ascii="Arial" w:eastAsia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  <w:lang w:val="es-ES"/>
              </w:rPr>
              <w:t>98,71%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8" w:after="14" w:line="163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Suministro de agua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5.156.119,94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4" w:line="182" w:lineRule="exact"/>
              <w:ind w:right="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Sí (*)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106.119,94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5.050.000,00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1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97,94%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8" w:after="20" w:line="163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Alcantarillado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415.000,00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19" w:line="173" w:lineRule="exact"/>
              <w:ind w:right="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415.000,00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1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100,00%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8" w:after="23" w:line="164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Recogida de basura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2.550.000,00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23" w:line="173" w:lineRule="exact"/>
              <w:ind w:right="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2.550.000,00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23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100,00%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before="37" w:after="29" w:line="164" w:lineRule="exact"/>
              <w:ind w:left="34"/>
              <w:textAlignment w:val="baseline"/>
              <w:rPr>
                <w:rFonts w:ascii="Calibri" w:eastAsia="Calibri" w:hAnsi="Calibri"/>
                <w:color w:val="000000"/>
                <w:sz w:val="17"/>
                <w:lang w:val="es-ES"/>
              </w:rPr>
            </w:pPr>
            <w:r>
              <w:rPr>
                <w:rFonts w:ascii="Calibri" w:eastAsia="Calibri" w:hAnsi="Calibri"/>
                <w:color w:val="000000"/>
                <w:sz w:val="17"/>
                <w:lang w:val="es-ES"/>
              </w:rPr>
              <w:t>Entrada de vehículos, edificios y reservas de aparcamientos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131.000,00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spacing w:after="29" w:line="173" w:lineRule="exact"/>
              <w:ind w:right="4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No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5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296"/>
              </w:tabs>
              <w:spacing w:after="2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131.000,00</w:t>
            </w:r>
          </w:p>
        </w:tc>
        <w:tc>
          <w:tcPr>
            <w:tcW w:w="15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52A62" w:rsidRDefault="00073DEF">
            <w:pPr>
              <w:tabs>
                <w:tab w:val="decimal" w:pos="1152"/>
              </w:tabs>
              <w:spacing w:after="29" w:line="173" w:lineRule="exact"/>
              <w:textAlignment w:val="baseline"/>
              <w:rPr>
                <w:rFonts w:ascii="Arial" w:eastAsia="Arial" w:hAnsi="Arial"/>
                <w:color w:val="000000"/>
                <w:sz w:val="16"/>
                <w:lang w:val="es-ES"/>
              </w:rPr>
            </w:pPr>
            <w:r>
              <w:rPr>
                <w:rFonts w:ascii="Arial" w:eastAsia="Arial" w:hAnsi="Arial"/>
                <w:color w:val="000000"/>
                <w:sz w:val="16"/>
                <w:lang w:val="es-ES"/>
              </w:rPr>
              <w:t>100,00%</w:t>
            </w:r>
          </w:p>
        </w:tc>
      </w:tr>
    </w:tbl>
    <w:p w:rsidR="00C52A62" w:rsidRDefault="00073DEF">
      <w:pPr>
        <w:spacing w:line="125" w:lineRule="exact"/>
        <w:ind w:left="720"/>
        <w:textAlignment w:val="baseline"/>
        <w:rPr>
          <w:rFonts w:eastAsia="Times New Roman"/>
          <w:color w:val="000000"/>
          <w:sz w:val="12"/>
          <w:lang w:val="es-ES"/>
        </w:rPr>
      </w:pPr>
      <w:r>
        <w:rPr>
          <w:rFonts w:eastAsia="Times New Roman"/>
          <w:color w:val="000000"/>
          <w:sz w:val="12"/>
          <w:lang w:val="es-ES"/>
        </w:rPr>
        <w:t>(*) Bonificación por domiciliación.</w:t>
      </w:r>
    </w:p>
    <w:p w:rsidR="00C52A62" w:rsidRDefault="00C52A62">
      <w:pPr>
        <w:sectPr w:rsidR="00C52A62">
          <w:type w:val="continuous"/>
          <w:pgSz w:w="16838" w:h="11909" w:orient="landscape"/>
          <w:pgMar w:top="280" w:right="1084" w:bottom="2713" w:left="542" w:header="720" w:footer="720" w:gutter="0"/>
          <w:cols w:space="720"/>
        </w:sectPr>
      </w:pPr>
    </w:p>
    <w:p w:rsidR="00C52A62" w:rsidRDefault="00C52A62">
      <w:pPr>
        <w:spacing w:before="124" w:line="20" w:lineRule="exact"/>
      </w:pPr>
      <w:r w:rsidRPr="00C52A62">
        <w:lastRenderedPageBreak/>
        <w:pict>
          <v:shape id="_x0000_s1027" type="#_x0000_t202" style="position:absolute;margin-left:32.65pt;margin-top:14.4pt;width:72.7pt;height:87.35pt;z-index:-251658752;mso-wrap-distance-left:0;mso-wrap-distance-right:0;mso-position-horizontal-relative:page;mso-position-vertical-relative:page" filled="f" stroked="f">
            <v:textbox inset="0,0,0,0">
              <w:txbxContent>
                <w:p w:rsidR="00C52A62" w:rsidRDefault="00073DEF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23290" cy="110934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290" cy="1109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C52A62">
        <w:pict>
          <v:line id="_x0000_s1026" style="position:absolute;z-index:251658752;mso-position-horizontal-relative:page;mso-position-vertical-relative:page" from="503.75pt,69.85pt" to="595.5pt,69.85pt" strokeweight=".7pt">
            <w10:wrap anchorx="page" anchory="page"/>
          </v:line>
        </w:pict>
      </w: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18"/>
        <w:gridCol w:w="1503"/>
        <w:gridCol w:w="249"/>
        <w:gridCol w:w="610"/>
      </w:tblGrid>
      <w:tr w:rsidR="00C52A62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531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C52A62" w:rsidRDefault="00073DEF">
            <w:pPr>
              <w:spacing w:before="280" w:line="203" w:lineRule="exact"/>
              <w:ind w:left="336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 xml:space="preserve">OFICINAS MUNICIPALES: </w:t>
            </w: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Avda. de las Tirajanas, 151.</w:t>
            </w:r>
          </w:p>
        </w:tc>
        <w:tc>
          <w:tcPr>
            <w:tcW w:w="15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C52A62" w:rsidRDefault="00073DEF">
            <w:pPr>
              <w:spacing w:before="280" w:line="203" w:lineRule="exact"/>
              <w:ind w:right="14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Tlfs.: 928 72</w:t>
            </w:r>
          </w:p>
        </w:tc>
        <w:tc>
          <w:tcPr>
            <w:tcW w:w="24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C52A62" w:rsidRDefault="00073DEF">
            <w:pPr>
              <w:spacing w:before="280" w:line="20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72</w:t>
            </w:r>
          </w:p>
        </w:tc>
        <w:tc>
          <w:tcPr>
            <w:tcW w:w="61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C52A62" w:rsidRDefault="00073DEF">
            <w:pPr>
              <w:spacing w:before="280" w:line="20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00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318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C52A62" w:rsidRDefault="00073DEF">
            <w:pPr>
              <w:spacing w:line="208" w:lineRule="exact"/>
              <w:ind w:left="360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35110 Santa Lucía - Gran Canaria</w:t>
            </w:r>
          </w:p>
          <w:p w:rsidR="00C52A62" w:rsidRDefault="00073DEF">
            <w:pPr>
              <w:tabs>
                <w:tab w:val="left" w:pos="2448"/>
              </w:tabs>
              <w:spacing w:after="61" w:line="206" w:lineRule="exact"/>
              <w:ind w:left="360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N.I.F.: P-3502300-A</w:t>
            </w: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ab/>
              <w:t>Nº Rgtro.: 01350228</w:t>
            </w:r>
          </w:p>
        </w:tc>
        <w:tc>
          <w:tcPr>
            <w:tcW w:w="1503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C52A62" w:rsidRDefault="00073DEF">
            <w:pPr>
              <w:spacing w:after="267" w:line="208" w:lineRule="exact"/>
              <w:ind w:right="14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Fax: 928 72</w:t>
            </w:r>
          </w:p>
        </w:tc>
        <w:tc>
          <w:tcPr>
            <w:tcW w:w="249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C52A62" w:rsidRDefault="00073DEF">
            <w:pPr>
              <w:spacing w:after="267" w:line="20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72</w:t>
            </w:r>
          </w:p>
        </w:tc>
        <w:tc>
          <w:tcPr>
            <w:tcW w:w="610" w:type="dxa"/>
            <w:tcBorders>
              <w:top w:val="none" w:sz="0" w:space="0" w:color="020000"/>
              <w:left w:val="none" w:sz="0" w:space="0" w:color="020000"/>
              <w:bottom w:val="single" w:sz="5" w:space="0" w:color="000000"/>
              <w:right w:val="none" w:sz="0" w:space="0" w:color="020000"/>
            </w:tcBorders>
          </w:tcPr>
          <w:p w:rsidR="00C52A62" w:rsidRDefault="00073DEF">
            <w:pPr>
              <w:spacing w:after="267" w:line="20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35</w:t>
            </w:r>
          </w:p>
        </w:tc>
      </w:tr>
    </w:tbl>
    <w:p w:rsidR="00C52A62" w:rsidRDefault="00C52A62">
      <w:pPr>
        <w:spacing w:after="854" w:line="20" w:lineRule="exact"/>
      </w:pPr>
    </w:p>
    <w:p w:rsidR="00C52A62" w:rsidRDefault="00C52A62">
      <w:pPr>
        <w:spacing w:after="854" w:line="20" w:lineRule="exact"/>
        <w:sectPr w:rsidR="00C52A62">
          <w:pgSz w:w="11909" w:h="16838"/>
          <w:pgMar w:top="280" w:right="1834" w:bottom="2662" w:left="2107" w:header="720" w:footer="720" w:gutter="0"/>
          <w:cols w:space="720"/>
        </w:sectPr>
      </w:pPr>
    </w:p>
    <w:p w:rsidR="00C52A62" w:rsidRDefault="00073DEF">
      <w:pPr>
        <w:spacing w:before="4" w:line="249" w:lineRule="exact"/>
        <w:jc w:val="center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lastRenderedPageBreak/>
        <w:t>ANEXO DE BENEFICIOS FISCALES EN TRIBUTOS LOCALES PARA EL AÑO 2023</w:t>
      </w:r>
    </w:p>
    <w:p w:rsidR="00C52A62" w:rsidRDefault="00073DEF">
      <w:pPr>
        <w:spacing w:before="702" w:after="139" w:line="220" w:lineRule="exact"/>
        <w:ind w:left="720"/>
        <w:textAlignment w:val="baseline"/>
        <w:rPr>
          <w:rFonts w:ascii="Verdana" w:eastAsia="Verdana" w:hAnsi="Verdana"/>
          <w:b/>
          <w:color w:val="000000"/>
          <w:sz w:val="18"/>
          <w:lang w:val="es-ES"/>
        </w:rPr>
      </w:pPr>
      <w:r>
        <w:rPr>
          <w:rFonts w:ascii="Verdana" w:eastAsia="Verdana" w:hAnsi="Verdana"/>
          <w:b/>
          <w:color w:val="000000"/>
          <w:sz w:val="18"/>
          <w:lang w:val="es-ES"/>
        </w:rPr>
        <w:t>SEGUNDO.- CLASIFICACIÓN DE LOS BENEFICIOS FISCALES</w:t>
      </w:r>
    </w:p>
    <w:p w:rsidR="00C52A62" w:rsidRDefault="00C52A62">
      <w:pPr>
        <w:spacing w:before="14" w:line="20" w:lineRule="exact"/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62"/>
        <w:gridCol w:w="1782"/>
      </w:tblGrid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9" w:after="32" w:line="205" w:lineRule="exact"/>
              <w:ind w:right="216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Explicación de beneficios fiscales en impuestos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9" w:after="32" w:line="205" w:lineRule="exact"/>
              <w:ind w:right="31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Importe total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9" w:after="18" w:line="205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Impuesto sobre Bienes Inmuebles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28" w:line="169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54.078,21 €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0" w:after="1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empresas de urbanización (art. 73.1 TRTRHL)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27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5" w:after="23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viviendas de protección oficial (art. 73.2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32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0" w:after="23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bienes rústicos de cooperativas agrarias (art. 73.3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32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2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bienes inmuebles en asentamientos de población singulares (art.74.1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6" w:after="37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2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cultivos, aprovechamientos o uso de construcciones (art. 74.2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6" w:after="37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1" w:after="27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inmuebles de organismos de investigación y universidades (art. 74.2 bis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36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1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BICEs atendiendo a los diferentes grupos de estos bienes (art. 74.3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27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1" w:after="1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familia numerosa (art. 74.4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27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0" w:after="1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instalaciones de sistemas de aprovechamiento energético (art. 74.5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27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5" w:after="23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Exención a favor de centros educativos concertados (art.7 ,t Ley 22/19931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32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0" w:after="23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Otros beneficios fiscales: Bonificación art.9.1 TRLRHL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0" w:after="23" w:line="208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54.078,21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9" w:after="28" w:line="205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Impuesto sobre Vehículos de Tracción Mecánica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6" w:after="38" w:line="168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748.119,51 €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2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Exención a favor de vehículos oficiales (art. 93.1 a)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6" w:after="37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1" w:after="27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Exención a favor de vehículos de representación diplomática (art. 93.1 b)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36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1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Exención a favor de vehículos por aplicación de tratados Internacionales (art.93.1 c)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27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1" w:after="1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Exención a favor de ambulancias y vehículos de asistencia sanitaria (art. 93.1 d)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27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1.322,77 €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22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Exención a favor de vehículos para personas de movilidad reducida (art. 93,1 e)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31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114.940,63 €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5" w:after="23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Exención a favor de vehículos destinados al transporte público urbano (art. 93.1 f)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32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0" w:after="23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Exención a favor de tractores y remolques con Cartilla de Inspección Agrícola (art. 93.1 g)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32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842,72 €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2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tipo de carburante (art. 95.6 a)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6" w:after="37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2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tipo de motor (art. 95.5 b)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6" w:after="37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41.905,76 €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1" w:after="27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vehículos históricos (art. 95.6 c)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36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589.107,63 €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1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Otros beneficios fiscales no incluidos anteriormente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27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4" w:after="18" w:line="205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Impuesto sobre Actividades Económicas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28" w:line="169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7.724,27 €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22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a favor de cooperativas fiscalmente protegidas (art. 88.1.a)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31" w:line="170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7.724,27 €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5" w:after="23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inicio de actividad (arts. 88.1.b) y 88.2.a)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5" w:after="32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0" w:after="23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creación de empleo (an. 88.2.b)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0" w:after="32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6" w:after="13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utilización de energías renovables (art. 88.2.c) 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6" w:after="22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81" w:after="28" w:line="208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color w:val="000000"/>
                <w:sz w:val="18"/>
                <w:lang w:val="es-ES"/>
              </w:rPr>
              <w:t>Bonificación por rendimientos netos negativos o de cuantía mínima (art. 88.2.d)TRLRHL)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11" w:after="37" w:line="169" w:lineRule="exact"/>
              <w:ind w:right="4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es-ES"/>
              </w:rPr>
            </w:pPr>
            <w:r>
              <w:rPr>
                <w:rFonts w:ascii="Arial" w:eastAsia="Arial" w:hAnsi="Arial"/>
                <w:color w:val="000000"/>
                <w:sz w:val="19"/>
                <w:lang w:val="es-ES"/>
              </w:rPr>
              <w:t>0,00 €</w:t>
            </w:r>
          </w:p>
        </w:tc>
      </w:tr>
      <w:tr w:rsidR="00C52A6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46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79" w:after="47" w:line="205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Otros beneficios fiscales no incluidos anteriormente</w:t>
            </w:r>
          </w:p>
        </w:tc>
        <w:tc>
          <w:tcPr>
            <w:tcW w:w="178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:rsidR="00C52A62" w:rsidRDefault="00073DEF">
            <w:pPr>
              <w:spacing w:before="106" w:after="57" w:line="168" w:lineRule="exact"/>
              <w:ind w:right="4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8"/>
                <w:lang w:val="es-ES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lang w:val="es-ES"/>
              </w:rPr>
              <w:t>106.119,94 €</w:t>
            </w:r>
          </w:p>
        </w:tc>
      </w:tr>
    </w:tbl>
    <w:p w:rsidR="00000000" w:rsidRDefault="00073DEF"/>
    <w:sectPr w:rsidR="00000000" w:rsidSect="00C52A62">
      <w:type w:val="continuous"/>
      <w:pgSz w:w="11909" w:h="16838"/>
      <w:pgMar w:top="280" w:right="1057" w:bottom="2662" w:left="5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C52A62"/>
    <w:rsid w:val="00073DEF"/>
    <w:rsid w:val="00C5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2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D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4210</Characters>
  <Application>Microsoft Office Word</Application>
  <DocSecurity>0</DocSecurity>
  <Lines>35</Lines>
  <Paragraphs>9</Paragraphs>
  <ScaleCrop>false</ScaleCrop>
  <Company>AYUNTAMIENTO DE SANTA LUCIA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2024-03-12T18:47:00Z</dcterms:created>
  <dcterms:modified xsi:type="dcterms:W3CDTF">2024-03-12T18:47:00Z</dcterms:modified>
</cp:coreProperties>
</file>