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RAMOS</w:t>
      </w:r>
      <w:r>
        <w:rPr>
          <w:spacing w:val="-5"/>
        </w:rPr>
        <w:t> </w:t>
      </w:r>
      <w:r>
        <w:rPr/>
        <w:t>SANCHEZ,</w:t>
      </w:r>
      <w:r>
        <w:rPr>
          <w:spacing w:val="-4"/>
        </w:rPr>
        <w:t> </w:t>
      </w:r>
      <w:r>
        <w:rPr/>
        <w:t>RAMON</w:t>
      </w:r>
      <w:r>
        <w:rPr>
          <w:spacing w:val="-4"/>
        </w:rPr>
        <w:t> </w:t>
      </w:r>
      <w:r>
        <w:rPr/>
        <w:t>LEVI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TIRAJ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RAMOS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SANCHEZ, RAMON LEVI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ASESOR/A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17 JUN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12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90,852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18,34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149,45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50,88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499,87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454,26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703,38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2.022,17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3.760,58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750,44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52,47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213,05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19,08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2022-05-17T10:14:48Z</dcterms:created>
  <dcterms:modified xsi:type="dcterms:W3CDTF">2022-05-17T10:14:48Z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